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Tender Review Checklist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Review tender invitation, scope, risks and commercial conditions before committing to a bid.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E6-TN-001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Tender controls</w:t>
      </w:r>
    </w:p>
    <w:p>
      <w:r>
        <w:rPr/>
        <w:t xml:space="preserve">Tender reference; client; closing date and time zone; submission method; addenda; contact; confidentiality and conflict checks.</w:t>
      </w:r>
    </w:p>
    <w:p>
      <w:pPr>
        <w:pStyle w:val="Heading1"/>
      </w:pPr>
      <w:r>
        <w:rPr/>
        <w:t xml:space="preserve">Scope and delivery review</w:t>
      </w:r>
    </w:p>
    <w:p>
      <w:r>
        <w:rPr/>
        <w:t xml:space="preserve">Drawings and revisions; quantities; exclusions; site visit; access; ground conditions; programme; interfaces; resources; subcontractors; environmental and safety requirements.</w:t>
      </w:r>
    </w:p>
    <w:p>
      <w:pPr>
        <w:pStyle w:val="Heading1"/>
      </w:pPr>
      <w:r>
        <w:rPr/>
        <w:t xml:space="preserve">Commercial review</w:t>
      </w:r>
    </w:p>
    <w:p>
      <w:r>
        <w:rPr/>
        <w:t xml:space="preserve">Pricing assumptions; taxes; payment terms; retentions; bonds; insurance requirements; variations; liquidated damages; warranties; risk review; approval to submit.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E6-TN-001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