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Subcontractor Onboarding Checklist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Use the principal contractor's requirements and verify each item before mobilising.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E6-TN-002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Company and commercial</w:t>
      </w:r>
    </w:p>
    <w:p>
      <w:r>
        <w:rPr/>
        <w:t xml:space="preserve">Entity details; purchase order or subcontract; scope and exclusions; programme; rates and payment; variation process; contacts and escalation.</w:t>
      </w:r>
    </w:p>
    <w:p>
      <w:pPr>
        <w:pStyle w:val="Heading1"/>
      </w:pPr>
      <w:r>
        <w:rPr/>
        <w:t xml:space="preserve">Project compliance</w:t>
      </w:r>
    </w:p>
    <w:p>
      <w:r>
        <w:rPr/>
        <w:t xml:space="preserve">Insurance evidence; health and safety documents; worker induction and competency; plant documents; permits; environmental and quality plans; emergency contacts.</w:t>
      </w:r>
    </w:p>
    <w:p>
      <w:pPr>
        <w:pStyle w:val="Heading1"/>
      </w:pPr>
      <w:r>
        <w:rPr/>
        <w:t xml:space="preserve">Mobilisation and close-out</w:t>
      </w:r>
    </w:p>
    <w:p>
      <w:r>
        <w:rPr/>
        <w:t xml:space="preserve">Site access; equipment and delivery plan; coordination meeting; records register; handover requirements; outstanding actions; approval to mobilise.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E6-TN-002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