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Spill Response Checklist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Follow site emergency arrangements and applicable safety data sheet instructions.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E6-ENV-003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Immediate response</w:t>
      </w:r>
    </w:p>
    <w:p>
      <w:r>
        <w:rPr/>
        <w:t xml:space="preserve">Raise alarm; protect people; stop source only if safe; isolate drains and waterways; use suitable PPE; contain spill using compatible materials; prevent spread.</w:t>
      </w:r>
    </w:p>
    <w:p>
      <w:pPr>
        <w:pStyle w:val="Heading1"/>
      </w:pPr>
      <w:r>
        <w:rPr/>
        <w:t xml:space="preserve">Notification and recovery</w:t>
      </w:r>
    </w:p>
    <w:p>
      <w:r>
        <w:rPr/>
        <w:t xml:space="preserve">Notify site lead and principal contractor; consult safety data sheet; arrange approved recovery and disposal; report incident; replenish spill supplies; document cause and corrective actions.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E6-ENV-003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