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Environmental Inspection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Use at the frequency required by the project environmental plan and site rules.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E6-ENV-002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Inspection items</w:t>
      </w:r>
    </w:p>
    <w:p>
      <w:r>
        <w:rPr/>
        <w:t xml:space="preserve">Erosion and sediment controls; dust; noise; waste segregation and disposal; spill kits and storage; waterways and drains; refuelling; material stockpiles; complaints and corrective actions.</w:t>
      </w:r>
    </w:p>
    <w:p>
      <w:pPr>
        <w:pStyle w:val="Heading1"/>
      </w:pPr>
      <w:r>
        <w:rPr/>
        <w:t xml:space="preserve">Findings</w:t>
      </w:r>
    </w:p>
    <w:p>
      <w:r>
        <w:rPr/>
        <w:t xml:space="preserve">Date; area; inspection result; evidence; non-conformance; immediate action; responsible person; due date; verification and close-out.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E6-ENV-002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