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Emergency Response Plan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Complete for the site and coordinate with the principal contractor before work starts.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E6-HS-006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Site arrangements</w:t>
      </w:r>
    </w:p>
    <w:p>
      <w:r>
        <w:rPr/>
        <w:t xml:space="preserve">Emergency services address and access; site contact; alarm method; evacuation route; assembly point; first aid; emergency equipment; hazardous substances; utility isolation.</w:t>
      </w:r>
    </w:p>
    <w:p>
      <w:pPr>
        <w:pStyle w:val="Heading1"/>
      </w:pPr>
      <w:r>
        <w:rPr/>
        <w:t xml:space="preserve">Response scenarios</w:t>
      </w:r>
    </w:p>
    <w:p>
      <w:r>
        <w:rPr/>
        <w:t xml:space="preserve">Medical event; fire; spill; severe weather; ground or trench failure; plant incident; missing person; evacuation and site re-entry.</w:t>
      </w:r>
    </w:p>
    <w:p>
      <w:pPr>
        <w:pStyle w:val="Heading1"/>
      </w:pPr>
      <w:r>
        <w:rPr/>
        <w:t xml:space="preserve">Communication and review</w:t>
      </w:r>
    </w:p>
    <w:p>
      <w:r>
        <w:rPr/>
        <w:t xml:space="preserve">Emergency contacts; notification responsibilities; drill or briefing records; review after site changes, incidents or exercises.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E6-HS-006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